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3973.9999389648438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CABALGATAS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 369 /13.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3973.9999389648438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Detalle de los circuitos cantidad de personas por grupo, principales atractivos por los que pasa, esquema de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aclimatación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croquis.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Certificado de Salubridad de Equinos emitido por Vet. Matri.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(si declara circuitos dentro de ANP)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de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Vacunación de Equinos certificada por Veterinario Matriculado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973.9999389648438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17.77992248535156" w:lineRule="auto"/>
      <w:ind w:left="417.9798889160156" w:hanging="66.5118408203125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