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400802" cy="534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802" cy="5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45327" cy="8873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327" cy="88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rtl w:val="0"/>
        </w:rPr>
        <w:t xml:space="preserve">APELLIDO Y NOMBRE DEL SOLICITANTE: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  </w:t>
      </w:r>
    </w:p>
    <w:p w:rsidR="00000000" w:rsidDel="00000000" w:rsidP="00000000" w:rsidRDefault="00000000" w:rsidRPr="00000000" w14:paraId="00000003">
      <w:pPr>
        <w:widowControl w:val="0"/>
        <w:spacing w:before="104.595947265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DEL ESTABLECIMIENTO:  </w:t>
      </w:r>
    </w:p>
    <w:p w:rsidR="00000000" w:rsidDel="00000000" w:rsidP="00000000" w:rsidRDefault="00000000" w:rsidRPr="00000000" w14:paraId="00000004">
      <w:pPr>
        <w:widowControl w:val="0"/>
        <w:spacing w:before="104.996337890625" w:line="240" w:lineRule="auto"/>
        <w:ind w:left="430.2758789062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EXPEDIENTE: COMPLETAR SOLO EN EL CASO DE QUE YA TUVIESE INICIADO EXPEDIENTE 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43.2438659667969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CAT. KAYAK-CANOAS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N°369 /13 y 848/16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443.2438659667969" w:firstLine="0"/>
        <w:jc w:val="center"/>
        <w:rPr>
          <w:rFonts w:ascii="Tahoma" w:cs="Tahoma" w:eastAsia="Tahoma" w:hAnsi="Tahoma"/>
          <w:b w:val="1"/>
        </w:rPr>
        <w:sectPr>
          <w:pgSz w:h="15840" w:w="12240" w:orient="portrait"/>
          <w:pgMar w:bottom="4330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Accidentes Personales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Curso que avale idoneidad / Credencial de Parques Nacionales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ANP (si declara circuitos dentro de ANP)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Carnet de botero / Guia Kayak otorgado por Prefectura Naval Argentina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Matrícula de Kayak Otorgada por Prefectura Naval Argentina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 Autorización de Recursos Hídricos (ssrh.guiasdepesca@gmail.com)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 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8179874420166" w:lineRule="auto"/>
        <w:ind w:left="23.003997802734375" w:right="882.2833251953125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30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