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DIRECCIÓN GENERAL DE HABILITACIONE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2203.6007690429688" w:top="1240" w:left="426.80641174316406" w:right="688.0004882812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(completar en caso de que ya estuviese iniciado)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REQUISITOS PARA LA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HABILITACIÓN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DE ACTIVIDAD PESCA DEPORTIVA 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MDT N° 853/10 y su modificatoria por Resolución MDT Nº 369/13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(La totalidad de la documental requerida se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deberá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presentar en formato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DIGITAL y correspondiente archivo PDF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Titularidad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AFIP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Rentas del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Neuquén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Apto Físico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acorde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Actividad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(certificado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médico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suscripto por profesional de la salud)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Póliza de Seguro de Responsabilidad Civil (monto de cobertura  $3.500.000) c/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cláusula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de No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Repetición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a favo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Tribunal Evaluador Aprobado / Credencial de Parque Nacional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Permiso de pesca en vigencia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libre infractor de fauna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 Autorización de Recursos Hídricos (ssrh.guiasdepesca@gmail.com)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 </w:t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203.6007690429688" w:top="1240" w:left="426.80641174316406" w:right="688.00048828125" w:header="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23.994722366333" w:lineRule="auto"/>
      <w:ind w:left="1038.193588256836" w:right="516.99951171875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23.994722366333" w:lineRule="auto"/>
      <w:ind w:left="1038.193588256836" w:right="516.99951171875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6076950" cy="603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0" cy="603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23.994722366333" w:lineRule="auto"/>
      <w:ind w:left="1038.193588256836" w:right="516.9995117187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